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Riammissioni negli ospedali: risultati per ogni nosocomio</w:t>
      </w:r>
    </w:p>
    <w:p>
      <w:pPr/>
      <w:r>
        <w:rPr>
          <w:rFonts w:ascii="Arial" w:hAnsi="Arial" w:eastAsia="Arial" w:cs="Arial"/>
          <w:sz w:val="24"/>
          <w:szCs w:val="24"/>
        </w:rPr>
        <w:t xml:space="preserve">Nel 2016, 146 ospedali acuti svizzeri, ripartiti in 198 sedi, hanno partecipato alla misurazione dell’ANQ delle riammissioni potenzialmente evitabili, i cui tassi sono stati pubblicati per la prima volta in modo trasparente per ogni nosocomio. Nel confronto diretto tra gli istituti, diciotto ospedali divergono dalla norma. L’analisi più recente rileva una leggera tendenza complessiva al miglioramento sull’arco di più anni.</w:t>
      </w:r>
    </w:p>
    <w:p>
      <w:pPr/>
      <w:r>
        <w:rPr>
          <w:rFonts w:ascii="Arial" w:hAnsi="Arial" w:eastAsia="Arial" w:cs="Arial"/>
          <w:sz w:val="24"/>
          <w:szCs w:val="24"/>
        </w:rPr>
        <w:t xml:space="preserve">Comunicato stampa</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2024-04-19T14:34:58+00:00</dcterms:created>
  <dcterms:modified xsi:type="dcterms:W3CDTF">2024-04-19T14:34:58+00:00</dcterms:modified>
</cp:coreProperties>
</file>

<file path=docProps/custom.xml><?xml version="1.0" encoding="utf-8"?>
<Properties xmlns="http://schemas.openxmlformats.org/officeDocument/2006/custom-properties" xmlns:vt="http://schemas.openxmlformats.org/officeDocument/2006/docPropsVTypes"/>
</file>