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color w:val="1d5a84"/>
          <w:sz w:val="64"/>
          <w:szCs w:val="64"/>
          <w:b/>
          <w:bCs/>
        </w:rPr>
        <w:t xml:space="preserve">Il nuovo score AVQ rende confrontabili i risultati della FIM® e dell’EBI</w:t>
      </w:r>
    </w:p>
    <w:p>
      <w:pPr/>
      <w:r>
        <w:rPr>
          <w:rFonts w:ascii="Arial" w:hAnsi="Arial" w:eastAsia="Arial" w:cs="Arial"/>
          <w:sz w:val="24"/>
          <w:szCs w:val="24"/>
        </w:rPr>
        <w:t xml:space="preserve">Onde rispondere alla necessità di una soluzione per poter procedere a confronti equi tra cliniche indipendentemente dallo strumento impiegato, su mandato dell’ANQ la Charité ha sviluppato un algoritmo di conversione basato sulla FIM® e sull’EBI, mediante il quale è poi stato calcolato uno score AVQ (attività della vita quotidiana) comune. L’algoritmo è stato convalidato empiricamente. È ora dunque possibile effettuare confronti della qualità dei risultati tra tutte le cliniche di un modulo. Il nuovo score AVQ viene utilizzato dalla misurazione 2016 per il confronto aggiustato secondo il rischio nelle riabilitazioni muscolo-scheletrica, neurologica e nell’indicazione «Altra riabilitazione». Esso non sostituisce né la FIM® né l’EBI, e non va confuso con lo score AVQ impiegato nel quadro del progetto ST-Reha.</w:t>
      </w:r>
    </w:p>
    <w:p>
      <w:pPr/>
      <w:r>
        <w:rPr>
          <w:rFonts w:ascii="Arial" w:hAnsi="Arial" w:eastAsia="Arial" w:cs="Arial"/>
          <w:sz w:val="24"/>
          <w:szCs w:val="24"/>
        </w:rPr>
        <w:t xml:space="preserve">Rapporto finale dello studio di sviluppo e di validazione dello score AVQ (in inglese)</w:t>
      </w:r>
    </w:p>
    <w:p>
      <w:pPr/>
      <w:r>
        <w:rPr>
          <w:rFonts w:ascii="Arial" w:hAnsi="Arial" w:eastAsia="Arial" w:cs="Arial"/>
          <w:sz w:val="24"/>
          <w:szCs w:val="24"/>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30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2024-04-26T19:13:04+00:00</dcterms:created>
  <dcterms:modified xsi:type="dcterms:W3CDTF">2024-04-26T19:13:04+00:00</dcterms:modified>
</cp:coreProperties>
</file>

<file path=docProps/custom.xml><?xml version="1.0" encoding="utf-8"?>
<Properties xmlns="http://schemas.openxmlformats.org/officeDocument/2006/custom-properties" xmlns:vt="http://schemas.openxmlformats.org/officeDocument/2006/docPropsVTypes"/>
</file>