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color w:val="1d5a84"/>
          <w:sz w:val="64"/>
          <w:szCs w:val="64"/>
          <w:b/>
          <w:bCs/>
        </w:rPr>
        <w:t xml:space="preserve">Efficacia delle cure psichiatriche in crescita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Dall’inizio della misurazione, si rileva una riduzione del peso dei sintomi nelle cliniche psichiatriche svizzere. Anche nel 2016, tutti gli istituti presentano cambiamenti positivi. I valori nella psichiatria stazionaria per adulti (considerando tutte le cliniche) si situano al livello dell’anno precedente, quelli nella psichiatria infantile e adolescenziale sono invece in media superiori. Più è importante la differenza tra la misurazione all’ammissione e quella alla dimissione, più efficaci sono state le cure. I risultati 2016 sono consultabili online per ogni clinica.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Comunicato stampa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30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2024-04-24T01:09:33+00:00</dcterms:created>
  <dcterms:modified xsi:type="dcterms:W3CDTF">2024-04-24T01:09:33+00:00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